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E7B5" w14:textId="6E813E06" w:rsidR="00D37460" w:rsidRDefault="00D37460" w:rsidP="00D37460">
      <w:pPr>
        <w:pStyle w:val="CRCoverPage"/>
        <w:tabs>
          <w:tab w:val="right" w:pos="9639"/>
        </w:tabs>
        <w:spacing w:after="0"/>
        <w:rPr>
          <w:b/>
          <w:i/>
          <w:noProof/>
          <w:sz w:val="28"/>
        </w:rPr>
      </w:pPr>
      <w:r>
        <w:rPr>
          <w:b/>
          <w:noProof/>
          <w:sz w:val="24"/>
        </w:rPr>
        <w:t>3GPP TSG-SA5 Meeting #161</w:t>
      </w:r>
      <w:r>
        <w:rPr>
          <w:b/>
          <w:i/>
          <w:noProof/>
          <w:sz w:val="28"/>
        </w:rPr>
        <w:tab/>
      </w:r>
      <w:r w:rsidR="006723EC" w:rsidRPr="006723EC">
        <w:rPr>
          <w:b/>
          <w:i/>
          <w:noProof/>
          <w:sz w:val="28"/>
        </w:rPr>
        <w:t>S5-25</w:t>
      </w:r>
      <w:r w:rsidR="00F00686" w:rsidRPr="00F00686">
        <w:rPr>
          <w:b/>
          <w:i/>
          <w:noProof/>
          <w:sz w:val="28"/>
          <w:lang w:val="en-US"/>
        </w:rPr>
        <w:t>3025</w:t>
      </w:r>
    </w:p>
    <w:p w14:paraId="55E40C14" w14:textId="77777777" w:rsidR="00D37460" w:rsidRPr="00DA53A0" w:rsidRDefault="00D37460" w:rsidP="00D37460">
      <w:pPr>
        <w:pStyle w:val="Header"/>
        <w:rPr>
          <w:sz w:val="22"/>
          <w:szCs w:val="22"/>
        </w:rPr>
      </w:pPr>
      <w:r>
        <w:rPr>
          <w:sz w:val="24"/>
        </w:rPr>
        <w:t>Fukuoka, Japan, 19 - 23 May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B75B9B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63A7">
        <w:rPr>
          <w:rFonts w:ascii="Arial" w:hAnsi="Arial"/>
          <w:b/>
          <w:lang w:val="en-US"/>
        </w:rPr>
        <w:t>NEC</w:t>
      </w:r>
      <w:r w:rsidR="00543770">
        <w:rPr>
          <w:rFonts w:ascii="Arial" w:hAnsi="Arial" w:hint="eastAsia"/>
          <w:b/>
          <w:lang w:val="en-US" w:eastAsia="zh-CN"/>
        </w:rPr>
        <w:t>,</w:t>
      </w:r>
      <w:r w:rsidR="00543770" w:rsidRPr="00543770">
        <w:rPr>
          <w:rFonts w:ascii="Arial" w:hAnsi="Arial"/>
          <w:b/>
          <w:lang w:val="en-US"/>
        </w:rPr>
        <w:t xml:space="preserve"> </w:t>
      </w:r>
      <w:r w:rsidR="00543770">
        <w:rPr>
          <w:rFonts w:ascii="Arial" w:hAnsi="Arial"/>
          <w:b/>
          <w:lang w:val="en-US"/>
        </w:rPr>
        <w:t>Intel</w:t>
      </w:r>
      <w:r w:rsidR="00F00686">
        <w:rPr>
          <w:rFonts w:ascii="Arial" w:hAnsi="Arial"/>
          <w:b/>
          <w:lang w:val="en-US"/>
        </w:rPr>
        <w:t xml:space="preserve">, </w:t>
      </w:r>
      <w:r w:rsidR="005E4A6A" w:rsidRPr="005E4A6A">
        <w:rPr>
          <w:rFonts w:ascii="Arial" w:hAnsi="Arial"/>
          <w:b/>
          <w:lang w:val="en-US"/>
        </w:rPr>
        <w:t>DTAG, NTT Docomo, China Unicom, Verizon, AT&amp;T, ZTE, CATT, China Mobile, Rakuten Mobile, Huawei, China Telecom, ORANGE</w:t>
      </w:r>
    </w:p>
    <w:p w14:paraId="2C458A19" w14:textId="42413F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30C8">
        <w:rPr>
          <w:rFonts w:ascii="Arial" w:hAnsi="Arial" w:cs="Arial"/>
          <w:b/>
        </w:rPr>
        <w:t xml:space="preserve">Discussion Paper: </w:t>
      </w:r>
      <w:r w:rsidR="00B879D3" w:rsidRPr="00B879D3">
        <w:rPr>
          <w:rFonts w:ascii="Arial" w:hAnsi="Arial" w:cs="Arial"/>
          <w:b/>
        </w:rPr>
        <w:t xml:space="preserve">Introduction of </w:t>
      </w:r>
      <w:r w:rsidR="00B879D3">
        <w:rPr>
          <w:rFonts w:ascii="Arial" w:hAnsi="Arial" w:cs="Arial"/>
          <w:b/>
        </w:rPr>
        <w:t>m</w:t>
      </w:r>
      <w:r w:rsidR="00B879D3" w:rsidRPr="00B879D3">
        <w:rPr>
          <w:rFonts w:ascii="Arial" w:hAnsi="Arial" w:cs="Arial"/>
          <w:b/>
        </w:rPr>
        <w:t xml:space="preserve">anagement </w:t>
      </w:r>
      <w:r w:rsidR="006723EC">
        <w:rPr>
          <w:rFonts w:ascii="Arial" w:hAnsi="Arial" w:cs="Arial"/>
          <w:b/>
        </w:rPr>
        <w:t xml:space="preserve">and orchestration reference arc architecture in support of </w:t>
      </w:r>
      <w:r w:rsidR="00B879D3" w:rsidRPr="00B879D3">
        <w:rPr>
          <w:rFonts w:ascii="Arial" w:hAnsi="Arial" w:cs="Arial"/>
          <w:b/>
        </w:rPr>
        <w:t>SBMA</w:t>
      </w:r>
    </w:p>
    <w:p w14:paraId="02CFB229" w14:textId="7AF0DFD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0C63A7">
        <w:rPr>
          <w:rFonts w:ascii="Arial" w:hAnsi="Arial"/>
          <w:b/>
          <w:lang w:eastAsia="zh-CN"/>
        </w:rPr>
        <w:t xml:space="preserve"> &amp;</w:t>
      </w:r>
      <w:r w:rsidR="001C7FB2">
        <w:rPr>
          <w:rFonts w:ascii="Arial" w:hAnsi="Arial"/>
          <w:b/>
          <w:lang w:eastAsia="zh-CN"/>
        </w:rPr>
        <w:t xml:space="preserve"> Endorsement</w:t>
      </w:r>
    </w:p>
    <w:p w14:paraId="74F27089" w14:textId="315BAC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4EA2">
        <w:rPr>
          <w:rFonts w:ascii="Arial" w:hAnsi="Arial"/>
          <w:b/>
        </w:rPr>
        <w:t>6.1</w:t>
      </w:r>
    </w:p>
    <w:p w14:paraId="13D426F8" w14:textId="77777777" w:rsidR="00C022E3" w:rsidRDefault="00C022E3">
      <w:pPr>
        <w:pStyle w:val="Heading1"/>
      </w:pPr>
      <w:r>
        <w:t>1</w:t>
      </w:r>
      <w:r>
        <w:tab/>
        <w:t>Decision/action requested</w:t>
      </w:r>
    </w:p>
    <w:p w14:paraId="4CE7B190" w14:textId="6139DE5D" w:rsidR="00C022E3" w:rsidRDefault="007E23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proposals.</w:t>
      </w:r>
    </w:p>
    <w:p w14:paraId="6F93C75D" w14:textId="77777777" w:rsidR="00C022E3" w:rsidRDefault="00C022E3">
      <w:pPr>
        <w:pStyle w:val="Heading1"/>
      </w:pPr>
      <w:r>
        <w:t>2</w:t>
      </w:r>
      <w:r>
        <w:tab/>
        <w:t>References</w:t>
      </w:r>
    </w:p>
    <w:p w14:paraId="4D6A2FC0" w14:textId="5F893242" w:rsidR="00C022E3" w:rsidRDefault="00C022E3">
      <w:pPr>
        <w:pStyle w:val="Reference"/>
      </w:pPr>
      <w:r w:rsidRPr="000C63A7">
        <w:t>[</w:t>
      </w:r>
      <w:r w:rsidR="00E82D8D" w:rsidRPr="000C63A7">
        <w:t>1</w:t>
      </w:r>
      <w:r w:rsidRPr="000C63A7">
        <w:t>]</w:t>
      </w:r>
      <w:r w:rsidRPr="000C63A7">
        <w:tab/>
        <w:t xml:space="preserve">3GPP TS </w:t>
      </w:r>
      <w:r w:rsidR="000C63A7" w:rsidRPr="000C63A7">
        <w:t>28.533</w:t>
      </w:r>
      <w:r w:rsidRPr="000C63A7">
        <w:t xml:space="preserve"> </w:t>
      </w:r>
      <w:r w:rsidR="000C63A7" w:rsidRPr="000C63A7">
        <w:t>Management and orchestration; Architecture framework</w:t>
      </w:r>
    </w:p>
    <w:p w14:paraId="44D9B941" w14:textId="4CCCC4FC" w:rsidR="000C63A7" w:rsidRDefault="000C63A7">
      <w:pPr>
        <w:pStyle w:val="Reference"/>
      </w:pPr>
      <w:r>
        <w:t>[2]</w:t>
      </w:r>
      <w:r>
        <w:tab/>
        <w:t xml:space="preserve">3GPP TS 28.105 </w:t>
      </w:r>
      <w:r w:rsidRPr="000C63A7">
        <w:t>Management and orchestration; Artificial Intelligence/ Machine Learning (AI/ML) management</w:t>
      </w:r>
    </w:p>
    <w:p w14:paraId="7F91177E" w14:textId="4E0A2CFC" w:rsidR="00283B65" w:rsidRPr="000C63A7" w:rsidRDefault="00283B65">
      <w:pPr>
        <w:pStyle w:val="Reference"/>
      </w:pPr>
      <w:r>
        <w:t>[3]</w:t>
      </w:r>
      <w:r>
        <w:tab/>
        <w:t xml:space="preserve">3GPP TS 28.104 </w:t>
      </w:r>
      <w:r w:rsidRPr="00283B65">
        <w:t>Management and orchestration; Management Data Analytics (MDA)</w:t>
      </w:r>
    </w:p>
    <w:p w14:paraId="1DE85D9E" w14:textId="77777777" w:rsidR="00C022E3" w:rsidRDefault="00C022E3">
      <w:pPr>
        <w:pStyle w:val="Heading1"/>
      </w:pPr>
      <w:r>
        <w:t>3</w:t>
      </w:r>
      <w:r>
        <w:tab/>
        <w:t>Rationale</w:t>
      </w:r>
    </w:p>
    <w:p w14:paraId="69734DF4"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Starting from Rel-15 in the 5G time frame, 3GPP SA5 adopted the Service-Based Management Architecture (SBMA) as the foundational approach for specifying network management and orchestration services and capabilities in 3GPP systems [1]. SBMA was introduced to support the flexibility and scalability required in 5G networks. It enables the specification of management services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independently of any predefined management functions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in contrast to earlier architectures that relied on explicitly defined functional entities.</w:t>
      </w:r>
    </w:p>
    <w:p w14:paraId="07827431" w14:textId="2CF79D99"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 xml:space="preserve">While SBMA offers strong support for modular service definition and architectural flexibility, over successive releases, SA5 specifications have increasingly focused on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xml:space="preserve"> while progressively moving away from defining or </w:t>
      </w:r>
      <w:r w:rsidR="007B4CE4">
        <w:rPr>
          <w:rFonts w:eastAsia="Times New Roman"/>
          <w:sz w:val="22"/>
          <w:szCs w:val="22"/>
          <w:lang w:eastAsia="en-GB"/>
        </w:rPr>
        <w:t>specifying</w:t>
      </w:r>
      <w:r w:rsidRPr="00C738F3">
        <w:rPr>
          <w:rFonts w:eastAsia="Times New Roman"/>
          <w:sz w:val="22"/>
          <w:szCs w:val="22"/>
          <w:lang w:eastAsia="en-GB"/>
        </w:rPr>
        <w:t xml:space="preserve"> the corresponding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As a result, the role and identity of MnS producers have become unclear. This gap has contributed to confusion and misalignment across 3GPP Working Groups (WGs), particularly as network intelligence, automation, and AI/ML capabilities are introduced into the 5G Core, RAN, and management domains.</w:t>
      </w:r>
    </w:p>
    <w:p w14:paraId="32B03A84" w14:textId="4513E12D"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 xml:space="preserve">In SBMA, network management is delivered through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xml:space="preserve"> that expose specific management capabilities. These services are produced and consumed by logical entities known as Management Functions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xml:space="preserve">), which may act as MnS producers, consumers, or both. However, in practice, SA5 has primarily defined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xml:space="preserve"> without explicitly </w:t>
      </w:r>
      <w:r w:rsidR="007B4CE4">
        <w:rPr>
          <w:rFonts w:eastAsia="Times New Roman"/>
          <w:sz w:val="22"/>
          <w:szCs w:val="22"/>
          <w:lang w:eastAsia="en-GB"/>
        </w:rPr>
        <w:t>specifying</w:t>
      </w:r>
      <w:r w:rsidRPr="00C738F3">
        <w:rPr>
          <w:rFonts w:eastAsia="Times New Roman"/>
          <w:sz w:val="22"/>
          <w:szCs w:val="22"/>
          <w:lang w:eastAsia="en-GB"/>
        </w:rPr>
        <w:t xml:space="preserve"> the associated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w:t>
      </w:r>
    </w:p>
    <w:p w14:paraId="2DC1B511"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This has led other WGs, such as SA2 and RAN, to define their own management-related functions to address perceived architectural gaps. In doing so, some have introduced functional components that overlap with the scope traditionally covered by SA5, resulting in duplication, inconsistencies, and architectural drift.</w:t>
      </w:r>
    </w:p>
    <w:p w14:paraId="7B4C2237"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The issue is further aggravated by developments in 6G, where several WGs are independently introducing new functional entities to support management and orchestration without alignment to SBMA or coordination with SA5. Without a corrective step, this architectural fragmentation will become more entrenched and difficult to reconcile.</w:t>
      </w:r>
    </w:p>
    <w:p w14:paraId="32C99E67"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The ambiguity in identifying MnS producers has made cross-WG alignment challenging. For example, as SA2 and RAN pursue AI/ML, automation, and orchestration enhancements, they have encountered unclear ownership of management-related functions. In response, they have defined their own entities—unintentionally stepping into the remit of SA5.</w:t>
      </w:r>
    </w:p>
    <w:p w14:paraId="7BCEAA29" w14:textId="71DFC96A"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lastRenderedPageBreak/>
        <w:t xml:space="preserve">Moreover, whereas the 5G Core and RAN continue to maintain clearly defined and </w:t>
      </w:r>
      <w:r w:rsidR="007B4CE4">
        <w:rPr>
          <w:rFonts w:eastAsia="Times New Roman"/>
          <w:sz w:val="22"/>
          <w:szCs w:val="22"/>
          <w:lang w:eastAsia="en-GB"/>
        </w:rPr>
        <w:t>specified</w:t>
      </w:r>
      <w:r w:rsidRPr="00C738F3">
        <w:rPr>
          <w:rFonts w:eastAsia="Times New Roman"/>
          <w:sz w:val="22"/>
          <w:szCs w:val="22"/>
          <w:lang w:eastAsia="en-GB"/>
        </w:rPr>
        <w:t xml:space="preserve"> Network Functions (NFs), the diminishing visibility of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xml:space="preserve"> within SA5 has widened the disconnect. This complicates the integration of management services with operational architectures and limits the ability of other WGs and external SDOs to interpret or extend SA5-defined services.</w:t>
      </w:r>
    </w:p>
    <w:p w14:paraId="4AF76D83" w14:textId="3C3C6324" w:rsidR="00E57ED1" w:rsidRDefault="00E57ED1" w:rsidP="00C738F3">
      <w:pPr>
        <w:spacing w:before="100" w:beforeAutospacing="1" w:after="100" w:afterAutospacing="1"/>
        <w:rPr>
          <w:rFonts w:eastAsia="Times New Roman"/>
          <w:sz w:val="22"/>
          <w:szCs w:val="22"/>
          <w:lang w:eastAsia="en-GB"/>
        </w:rPr>
      </w:pPr>
      <w:r w:rsidRPr="0050435B">
        <w:rPr>
          <w:rFonts w:eastAsia="Times New Roman"/>
          <w:sz w:val="22"/>
          <w:szCs w:val="22"/>
          <w:lang w:eastAsia="en-GB"/>
        </w:rPr>
        <w:t>This issue is further underscored by the fact that other 3GPP Working Groups, such as SA2 and RAN3, rely on well-defined architectures to structure their domains, for example, the 5GC architecture in SA2 and the NG-RAN architecture in RAN3. These architectures serve as foundational references that facilitate coordination, clarity, and extensibility. In contrast, if SA5 focuses solely on defining Management Services (</w:t>
      </w:r>
      <w:proofErr w:type="spellStart"/>
      <w:r w:rsidRPr="0050435B">
        <w:rPr>
          <w:rFonts w:eastAsia="Times New Roman"/>
          <w:sz w:val="22"/>
          <w:szCs w:val="22"/>
          <w:lang w:eastAsia="en-GB"/>
        </w:rPr>
        <w:t>MnSs</w:t>
      </w:r>
      <w:proofErr w:type="spellEnd"/>
      <w:r w:rsidRPr="0050435B">
        <w:rPr>
          <w:rFonts w:eastAsia="Times New Roman"/>
          <w:sz w:val="22"/>
          <w:szCs w:val="22"/>
          <w:lang w:eastAsia="en-GB"/>
        </w:rPr>
        <w:t>) without describing the management architecture in which they operate, it creates a gap that makes it harder for other WGs to understand how these services fit into the broader system. A clearly defined management architecture from SA5 would enhance interoperability, avoid misinterpretation, and ensure architectural coherence across 3GPP specifications.</w:t>
      </w:r>
    </w:p>
    <w:p w14:paraId="31AA4742" w14:textId="69B474F3" w:rsidR="00283B65" w:rsidRDefault="00283B65" w:rsidP="00C738F3">
      <w:pPr>
        <w:spacing w:before="100" w:beforeAutospacing="1" w:after="100" w:afterAutospacing="1"/>
        <w:rPr>
          <w:rFonts w:eastAsia="Times New Roman"/>
          <w:sz w:val="22"/>
          <w:szCs w:val="22"/>
          <w:lang w:eastAsia="en-GB"/>
        </w:rPr>
      </w:pPr>
      <w:r w:rsidRPr="00283B65">
        <w:rPr>
          <w:rFonts w:eastAsia="Times New Roman"/>
          <w:sz w:val="22"/>
          <w:szCs w:val="22"/>
          <w:lang w:eastAsia="en-GB"/>
        </w:rPr>
        <w:t>SA5 specifications already refer to logical Management Functions (</w:t>
      </w:r>
      <w:proofErr w:type="spellStart"/>
      <w:r w:rsidRPr="00283B65">
        <w:rPr>
          <w:rFonts w:eastAsia="Times New Roman"/>
          <w:sz w:val="22"/>
          <w:szCs w:val="22"/>
          <w:lang w:eastAsia="en-GB"/>
        </w:rPr>
        <w:t>MnFs</w:t>
      </w:r>
      <w:proofErr w:type="spellEnd"/>
      <w:r w:rsidRPr="00283B65">
        <w:rPr>
          <w:rFonts w:eastAsia="Times New Roman"/>
          <w:sz w:val="22"/>
          <w:szCs w:val="22"/>
          <w:lang w:eastAsia="en-GB"/>
        </w:rPr>
        <w:t>) in several areas</w:t>
      </w:r>
      <w:r w:rsidR="00BA47FC">
        <w:rPr>
          <w:rFonts w:eastAsia="Times New Roman"/>
          <w:sz w:val="22"/>
          <w:szCs w:val="22"/>
          <w:lang w:eastAsia="en-GB"/>
        </w:rPr>
        <w:t xml:space="preserve">, </w:t>
      </w:r>
      <w:r w:rsidRPr="00283B65">
        <w:rPr>
          <w:rFonts w:eastAsia="Times New Roman"/>
          <w:sz w:val="22"/>
          <w:szCs w:val="22"/>
          <w:lang w:eastAsia="en-GB"/>
        </w:rPr>
        <w:t>for example, in the management of AI/ML as described in TS 28.105 [</w:t>
      </w:r>
      <w:r w:rsidR="00BA47FC">
        <w:rPr>
          <w:rFonts w:eastAsia="Times New Roman"/>
          <w:sz w:val="22"/>
          <w:szCs w:val="22"/>
          <w:lang w:eastAsia="en-GB"/>
        </w:rPr>
        <w:t>2</w:t>
      </w:r>
      <w:r w:rsidRPr="00283B65">
        <w:rPr>
          <w:rFonts w:eastAsia="Times New Roman"/>
          <w:sz w:val="22"/>
          <w:szCs w:val="22"/>
          <w:lang w:eastAsia="en-GB"/>
        </w:rPr>
        <w:t xml:space="preserve">], and in Management Data Analytics (MDA) as specified in TS 28.104 [3], where the relevant function is the Management Data Analytics Function (MDAF). However, these </w:t>
      </w:r>
      <w:proofErr w:type="spellStart"/>
      <w:r w:rsidRPr="00283B65">
        <w:rPr>
          <w:rFonts w:eastAsia="Times New Roman"/>
          <w:sz w:val="22"/>
          <w:szCs w:val="22"/>
          <w:lang w:eastAsia="en-GB"/>
        </w:rPr>
        <w:t>MnFs</w:t>
      </w:r>
      <w:proofErr w:type="spellEnd"/>
      <w:r w:rsidRPr="00283B65">
        <w:rPr>
          <w:rFonts w:eastAsia="Times New Roman"/>
          <w:sz w:val="22"/>
          <w:szCs w:val="22"/>
          <w:lang w:eastAsia="en-GB"/>
        </w:rPr>
        <w:t xml:space="preserve"> are only implicitly referenced and not formally represented within an overarching architectural or management framework. This lack of explicit definition makes their roles and interactions across the management plane less visible and less coherent. Consequently, there is a need for SA5 to introduce a complementary management architecture that explicitly identifies and organizes all relevant </w:t>
      </w:r>
      <w:proofErr w:type="spellStart"/>
      <w:r w:rsidRPr="00283B65">
        <w:rPr>
          <w:rFonts w:eastAsia="Times New Roman"/>
          <w:sz w:val="22"/>
          <w:szCs w:val="22"/>
          <w:lang w:eastAsia="en-GB"/>
        </w:rPr>
        <w:t>MnFs</w:t>
      </w:r>
      <w:proofErr w:type="spellEnd"/>
      <w:r w:rsidRPr="00283B65">
        <w:rPr>
          <w:rFonts w:eastAsia="Times New Roman"/>
          <w:sz w:val="22"/>
          <w:szCs w:val="22"/>
          <w:lang w:eastAsia="en-GB"/>
        </w:rPr>
        <w:t>, enabling greater clarity, better alignment across specifications, and a more structured foundation for advancing intelligent and automated network management in 5G and beyond.</w:t>
      </w:r>
    </w:p>
    <w:p w14:paraId="4262D171" w14:textId="779F3467" w:rsidR="00C738F3" w:rsidRPr="00C738F3" w:rsidRDefault="001A21C8" w:rsidP="00C738F3">
      <w:pPr>
        <w:spacing w:before="100" w:beforeAutospacing="1" w:after="100" w:afterAutospacing="1"/>
        <w:rPr>
          <w:rFonts w:eastAsia="Times New Roman"/>
          <w:sz w:val="22"/>
          <w:szCs w:val="22"/>
          <w:lang w:eastAsia="en-GB"/>
        </w:rPr>
      </w:pPr>
      <w:r w:rsidRPr="001A21C8">
        <w:rPr>
          <w:rFonts w:eastAsia="Times New Roman"/>
          <w:sz w:val="22"/>
          <w:szCs w:val="22"/>
          <w:lang w:eastAsia="en-GB"/>
        </w:rPr>
        <w:t>To address the identified issues, it is proposed that SA5 introduce a complementary management framework that explicitly defines the logical Management Functions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responsible for producing and consuming Management Services (</w:t>
      </w:r>
      <w:proofErr w:type="spellStart"/>
      <w:r w:rsidRPr="001A21C8">
        <w:rPr>
          <w:rFonts w:eastAsia="Times New Roman"/>
          <w:sz w:val="22"/>
          <w:szCs w:val="22"/>
          <w:lang w:eastAsia="en-GB"/>
        </w:rPr>
        <w:t>MnSs</w:t>
      </w:r>
      <w:proofErr w:type="spellEnd"/>
      <w:r w:rsidRPr="001A21C8">
        <w:rPr>
          <w:rFonts w:eastAsia="Times New Roman"/>
          <w:sz w:val="22"/>
          <w:szCs w:val="22"/>
          <w:lang w:eastAsia="en-GB"/>
        </w:rPr>
        <w:t>). This architectural enhancement complements the existing Service-Based Management Architecture (SBMA) specified in 3GPP TS 28.533</w:t>
      </w:r>
      <w:r w:rsidR="00D01769">
        <w:rPr>
          <w:rFonts w:eastAsia="Times New Roman"/>
          <w:sz w:val="22"/>
          <w:szCs w:val="22"/>
          <w:lang w:eastAsia="en-GB"/>
        </w:rPr>
        <w:t xml:space="preserve"> [1]</w:t>
      </w:r>
      <w:r w:rsidRPr="001A21C8">
        <w:rPr>
          <w:rFonts w:eastAsia="Times New Roman"/>
          <w:sz w:val="22"/>
          <w:szCs w:val="22"/>
          <w:lang w:eastAsia="en-GB"/>
        </w:rPr>
        <w:t xml:space="preserve">, rather than replacing or contradicting it. It reinforces SBMA by clarifying the structure, role, and responsibilities of management entities, thereby supporting improved cross-WG alignment, reducing duplication, and ensuring broader architectural consistency. The proposed framework also enables an integrated view in which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xml:space="preserve"> interact with 5G Core (5GC) Network Functions (NFs), User Equipment (UE), and RAN components via both Service-Based and legacy management interfaces.</w:t>
      </w:r>
    </w:p>
    <w:p w14:paraId="459D8228" w14:textId="77777777" w:rsidR="00C022E3" w:rsidRDefault="00C022E3">
      <w:pPr>
        <w:pStyle w:val="Heading1"/>
      </w:pPr>
      <w:r>
        <w:t>4</w:t>
      </w:r>
      <w:r>
        <w:tab/>
        <w:t>Detailed proposal</w:t>
      </w:r>
    </w:p>
    <w:p w14:paraId="5C2067D4" w14:textId="4B4D53FE" w:rsidR="001A21C8" w:rsidRPr="001A21C8" w:rsidRDefault="001A21C8" w:rsidP="001A21C8">
      <w:pPr>
        <w:spacing w:before="100" w:beforeAutospacing="1" w:after="100" w:afterAutospacing="1"/>
        <w:rPr>
          <w:rFonts w:eastAsia="Times New Roman"/>
          <w:sz w:val="22"/>
          <w:szCs w:val="22"/>
          <w:lang w:eastAsia="en-GB"/>
        </w:rPr>
      </w:pPr>
      <w:r w:rsidRPr="001A21C8">
        <w:rPr>
          <w:rFonts w:eastAsia="Times New Roman"/>
          <w:sz w:val="22"/>
          <w:szCs w:val="22"/>
          <w:lang w:eastAsia="en-GB"/>
        </w:rPr>
        <w:t>To address the challenges outlined above and reinforce SA5’s leadership in network management, we propose the following:</w:t>
      </w:r>
    </w:p>
    <w:p w14:paraId="623C062E" w14:textId="32B4B9B7" w:rsidR="001A21C8" w:rsidRPr="001A21C8" w:rsidRDefault="001A21C8" w:rsidP="001A21C8">
      <w:pPr>
        <w:spacing w:before="100" w:beforeAutospacing="1" w:after="100" w:afterAutospacing="1"/>
        <w:rPr>
          <w:rFonts w:eastAsia="Times New Roman"/>
          <w:sz w:val="22"/>
          <w:szCs w:val="22"/>
          <w:lang w:eastAsia="en-GB"/>
        </w:rPr>
      </w:pPr>
      <w:r w:rsidRPr="001A21C8">
        <w:rPr>
          <w:rFonts w:eastAsia="Times New Roman"/>
          <w:b/>
          <w:bCs/>
          <w:sz w:val="22"/>
          <w:szCs w:val="22"/>
          <w:lang w:eastAsia="en-GB"/>
        </w:rPr>
        <w:t>Proposal #1: Define a complementary management framework</w:t>
      </w:r>
      <w:r w:rsidRPr="001A21C8">
        <w:rPr>
          <w:rFonts w:eastAsia="Times New Roman"/>
          <w:sz w:val="22"/>
          <w:szCs w:val="22"/>
          <w:lang w:eastAsia="en-GB"/>
        </w:rPr>
        <w:br/>
        <w:t xml:space="preserve">Introduce a complementary </w:t>
      </w:r>
      <w:r w:rsidR="00735C8C">
        <w:rPr>
          <w:rFonts w:eastAsia="Times New Roman"/>
          <w:sz w:val="22"/>
          <w:szCs w:val="22"/>
          <w:lang w:eastAsia="en-GB"/>
        </w:rPr>
        <w:t>management and orchestration reference architecture</w:t>
      </w:r>
      <w:r w:rsidRPr="001A21C8">
        <w:rPr>
          <w:rFonts w:eastAsia="Times New Roman"/>
          <w:sz w:val="22"/>
          <w:szCs w:val="22"/>
          <w:lang w:eastAsia="en-GB"/>
        </w:rPr>
        <w:t xml:space="preserve"> that augments the Service-Based Management Architecture (SBMA) by:</w:t>
      </w:r>
    </w:p>
    <w:p w14:paraId="33C60E92" w14:textId="77777777"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Explicitly defining logical Management Functions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responsible for producing and consuming Management Services (</w:t>
      </w:r>
      <w:proofErr w:type="spellStart"/>
      <w:r w:rsidRPr="001A21C8">
        <w:rPr>
          <w:rFonts w:eastAsia="Times New Roman"/>
          <w:sz w:val="22"/>
          <w:szCs w:val="22"/>
          <w:lang w:eastAsia="en-GB"/>
        </w:rPr>
        <w:t>MnSs</w:t>
      </w:r>
      <w:proofErr w:type="spellEnd"/>
      <w:r w:rsidRPr="001A21C8">
        <w:rPr>
          <w:rFonts w:eastAsia="Times New Roman"/>
          <w:sz w:val="22"/>
          <w:szCs w:val="22"/>
          <w:lang w:eastAsia="en-GB"/>
        </w:rPr>
        <w:t>), and specifying their roles.</w:t>
      </w:r>
    </w:p>
    <w:p w14:paraId="5029B42E" w14:textId="7E8432F8"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Mapping </w:t>
      </w:r>
      <w:proofErr w:type="spellStart"/>
      <w:r w:rsidRPr="001A21C8">
        <w:rPr>
          <w:rFonts w:eastAsia="Times New Roman"/>
          <w:sz w:val="22"/>
          <w:szCs w:val="22"/>
          <w:lang w:eastAsia="en-GB"/>
        </w:rPr>
        <w:t>MnF</w:t>
      </w:r>
      <w:proofErr w:type="spellEnd"/>
      <w:r w:rsidRPr="001A21C8">
        <w:rPr>
          <w:rFonts w:eastAsia="Times New Roman"/>
          <w:sz w:val="22"/>
          <w:szCs w:val="22"/>
          <w:lang w:eastAsia="en-GB"/>
        </w:rPr>
        <w:t xml:space="preserve"> functional roles to the </w:t>
      </w:r>
      <w:proofErr w:type="spellStart"/>
      <w:r w:rsidRPr="001A21C8">
        <w:rPr>
          <w:rFonts w:eastAsia="Times New Roman"/>
          <w:sz w:val="22"/>
          <w:szCs w:val="22"/>
          <w:lang w:eastAsia="en-GB"/>
        </w:rPr>
        <w:t>MnSs</w:t>
      </w:r>
      <w:proofErr w:type="spellEnd"/>
      <w:r w:rsidRPr="001A21C8">
        <w:rPr>
          <w:rFonts w:eastAsia="Times New Roman"/>
          <w:sz w:val="22"/>
          <w:szCs w:val="22"/>
          <w:lang w:eastAsia="en-GB"/>
        </w:rPr>
        <w:t xml:space="preserve"> they produce and/or consume (e.g., ML training, </w:t>
      </w:r>
      <w:r w:rsidR="00735C8C">
        <w:rPr>
          <w:rFonts w:eastAsia="Times New Roman"/>
          <w:sz w:val="22"/>
          <w:szCs w:val="22"/>
          <w:lang w:eastAsia="en-GB"/>
        </w:rPr>
        <w:t>management data analytics</w:t>
      </w:r>
      <w:r w:rsidRPr="001A21C8">
        <w:rPr>
          <w:rFonts w:eastAsia="Times New Roman"/>
          <w:sz w:val="22"/>
          <w:szCs w:val="22"/>
          <w:lang w:eastAsia="en-GB"/>
        </w:rPr>
        <w:t>,</w:t>
      </w:r>
      <w:r w:rsidR="00735C8C">
        <w:rPr>
          <w:rFonts w:eastAsia="Times New Roman"/>
          <w:sz w:val="22"/>
          <w:szCs w:val="22"/>
          <w:lang w:eastAsia="en-GB"/>
        </w:rPr>
        <w:t xml:space="preserve"> intent driven management,</w:t>
      </w:r>
      <w:r w:rsidRPr="001A21C8">
        <w:rPr>
          <w:rFonts w:eastAsia="Times New Roman"/>
          <w:sz w:val="22"/>
          <w:szCs w:val="22"/>
          <w:lang w:eastAsia="en-GB"/>
        </w:rPr>
        <w:t xml:space="preserve"> etc.).</w:t>
      </w:r>
    </w:p>
    <w:p w14:paraId="6AF22AF1" w14:textId="77777777"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Enabling clear traceability from each MnS to its producer(s), facilitating architectural clarity.</w:t>
      </w:r>
    </w:p>
    <w:p w14:paraId="67663E68" w14:textId="77777777"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Maintaining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xml:space="preserve"> as logical entities, decoupled from any specific implementation or deployment model.</w:t>
      </w:r>
    </w:p>
    <w:p w14:paraId="58751A7C" w14:textId="0385441C"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Supporting seamless interaction between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xml:space="preserve"> and other entities such as 5GC NFs, UE, and RAN components, via both service-based and legacy (</w:t>
      </w:r>
      <w:r w:rsidR="00FD701E">
        <w:rPr>
          <w:rFonts w:eastAsia="Times New Roman"/>
          <w:sz w:val="22"/>
          <w:szCs w:val="22"/>
          <w:lang w:eastAsia="en-GB"/>
        </w:rPr>
        <w:t>i.e., Type-1)</w:t>
      </w:r>
      <w:r w:rsidRPr="001A21C8">
        <w:rPr>
          <w:rFonts w:eastAsia="Times New Roman"/>
          <w:sz w:val="22"/>
          <w:szCs w:val="22"/>
          <w:lang w:eastAsia="en-GB"/>
        </w:rPr>
        <w:t xml:space="preserve"> management interfaces.</w:t>
      </w:r>
    </w:p>
    <w:p w14:paraId="1F85E6CF" w14:textId="73A6C6F8" w:rsidR="001A21C8" w:rsidRPr="001A21C8" w:rsidRDefault="001A21C8" w:rsidP="001A21C8">
      <w:pPr>
        <w:spacing w:before="100" w:beforeAutospacing="1" w:after="100" w:afterAutospacing="1"/>
        <w:rPr>
          <w:rFonts w:eastAsia="Times New Roman"/>
          <w:sz w:val="22"/>
          <w:szCs w:val="22"/>
          <w:lang w:eastAsia="en-GB"/>
        </w:rPr>
      </w:pPr>
      <w:r w:rsidRPr="001A21C8">
        <w:rPr>
          <w:rFonts w:eastAsia="Times New Roman"/>
          <w:b/>
          <w:bCs/>
          <w:sz w:val="22"/>
          <w:szCs w:val="22"/>
          <w:lang w:eastAsia="en-GB"/>
        </w:rPr>
        <w:t xml:space="preserve">Proposal #2: Communicate and align the </w:t>
      </w:r>
      <w:r w:rsidR="00735C8C">
        <w:rPr>
          <w:rFonts w:eastAsia="Times New Roman"/>
          <w:b/>
          <w:bCs/>
          <w:sz w:val="22"/>
          <w:szCs w:val="22"/>
          <w:lang w:eastAsia="en-GB"/>
        </w:rPr>
        <w:t xml:space="preserve">management and orchestration reference architecture </w:t>
      </w:r>
      <w:r w:rsidR="00735C8C" w:rsidRPr="001A21C8">
        <w:rPr>
          <w:rFonts w:eastAsia="Times New Roman"/>
          <w:b/>
          <w:bCs/>
          <w:sz w:val="22"/>
          <w:szCs w:val="22"/>
          <w:lang w:eastAsia="en-GB"/>
        </w:rPr>
        <w:t>across</w:t>
      </w:r>
      <w:r w:rsidRPr="001A21C8">
        <w:rPr>
          <w:rFonts w:eastAsia="Times New Roman"/>
          <w:b/>
          <w:bCs/>
          <w:sz w:val="22"/>
          <w:szCs w:val="22"/>
          <w:lang w:eastAsia="en-GB"/>
        </w:rPr>
        <w:t xml:space="preserve"> 3GPP WGs</w:t>
      </w:r>
    </w:p>
    <w:p w14:paraId="6EF44BEB" w14:textId="4E4B0DB5" w:rsidR="001A21C8" w:rsidRPr="001A21C8" w:rsidRDefault="001A21C8" w:rsidP="001A21C8">
      <w:pPr>
        <w:numPr>
          <w:ilvl w:val="0"/>
          <w:numId w:val="27"/>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Engage with SA2, RAN, and other WGs to present and align on the proposed complementary management </w:t>
      </w:r>
      <w:r w:rsidR="00735C8C">
        <w:rPr>
          <w:rFonts w:eastAsia="Times New Roman"/>
          <w:sz w:val="22"/>
          <w:szCs w:val="22"/>
          <w:lang w:eastAsia="en-GB"/>
        </w:rPr>
        <w:t>and orchestration reference architecture.</w:t>
      </w:r>
    </w:p>
    <w:p w14:paraId="2D116378" w14:textId="77777777" w:rsidR="001A21C8" w:rsidRPr="001A21C8" w:rsidRDefault="001A21C8" w:rsidP="001A21C8">
      <w:pPr>
        <w:numPr>
          <w:ilvl w:val="0"/>
          <w:numId w:val="27"/>
        </w:numPr>
        <w:spacing w:before="100" w:beforeAutospacing="1" w:after="100" w:afterAutospacing="1"/>
        <w:rPr>
          <w:rFonts w:eastAsia="Times New Roman"/>
          <w:sz w:val="22"/>
          <w:szCs w:val="22"/>
          <w:lang w:eastAsia="en-GB"/>
        </w:rPr>
      </w:pPr>
      <w:r w:rsidRPr="001A21C8">
        <w:rPr>
          <w:rFonts w:eastAsia="Times New Roman"/>
          <w:sz w:val="22"/>
          <w:szCs w:val="22"/>
          <w:lang w:eastAsia="en-GB"/>
        </w:rPr>
        <w:lastRenderedPageBreak/>
        <w:t>Ensure architectural consistency and coordination across WGs, especially in ongoing and future 6G-related activities.</w:t>
      </w:r>
    </w:p>
    <w:p w14:paraId="0F21B80E" w14:textId="07E112D9" w:rsidR="001A21C8" w:rsidRPr="001A21C8" w:rsidRDefault="001A21C8" w:rsidP="001A21C8">
      <w:pPr>
        <w:numPr>
          <w:ilvl w:val="0"/>
          <w:numId w:val="27"/>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Prevent further fragmentation and overlap in the </w:t>
      </w:r>
      <w:r w:rsidR="007B4CE4">
        <w:rPr>
          <w:rFonts w:eastAsia="Times New Roman"/>
          <w:sz w:val="22"/>
          <w:szCs w:val="22"/>
          <w:lang w:eastAsia="en-GB"/>
        </w:rPr>
        <w:t xml:space="preserve">specification </w:t>
      </w:r>
      <w:r w:rsidRPr="001A21C8">
        <w:rPr>
          <w:rFonts w:eastAsia="Times New Roman"/>
          <w:sz w:val="22"/>
          <w:szCs w:val="22"/>
          <w:lang w:eastAsia="en-GB"/>
        </w:rPr>
        <w:t>of management-related functions.</w:t>
      </w:r>
    </w:p>
    <w:p w14:paraId="0E85174D" w14:textId="77777777" w:rsidR="008E2175" w:rsidRDefault="008E2175" w:rsidP="008E2175"/>
    <w:p w14:paraId="303DC584" w14:textId="77777777" w:rsidR="008E2175" w:rsidRDefault="008E2175">
      <w:pPr>
        <w:rPr>
          <w:i/>
        </w:rPr>
      </w:pPr>
    </w:p>
    <w:sectPr w:rsidR="008E21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158D" w14:textId="77777777" w:rsidR="00D4572C" w:rsidRDefault="00D4572C">
      <w:r>
        <w:separator/>
      </w:r>
    </w:p>
  </w:endnote>
  <w:endnote w:type="continuationSeparator" w:id="0">
    <w:p w14:paraId="5CA296DE" w14:textId="77777777" w:rsidR="00D4572C" w:rsidRDefault="00D4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E78C5" w14:textId="77777777" w:rsidR="00D4572C" w:rsidRDefault="00D4572C">
      <w:r>
        <w:separator/>
      </w:r>
    </w:p>
  </w:footnote>
  <w:footnote w:type="continuationSeparator" w:id="0">
    <w:p w14:paraId="0D9D60B4" w14:textId="77777777" w:rsidR="00D4572C" w:rsidRDefault="00D45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525745"/>
    <w:multiLevelType w:val="multilevel"/>
    <w:tmpl w:val="6676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311516C"/>
    <w:multiLevelType w:val="multilevel"/>
    <w:tmpl w:val="DA129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461B17"/>
    <w:multiLevelType w:val="hybridMultilevel"/>
    <w:tmpl w:val="FD44B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5E6D99"/>
    <w:multiLevelType w:val="multilevel"/>
    <w:tmpl w:val="9EB2A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0E5108"/>
    <w:multiLevelType w:val="multilevel"/>
    <w:tmpl w:val="EEF4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5"/>
  </w:num>
  <w:num w:numId="9" w16cid:durableId="1545214639">
    <w:abstractNumId w:val="19"/>
  </w:num>
  <w:num w:numId="10" w16cid:durableId="1892770269">
    <w:abstractNumId w:val="22"/>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12697711">
    <w:abstractNumId w:val="24"/>
  </w:num>
  <w:num w:numId="24" w16cid:durableId="1659770014">
    <w:abstractNumId w:val="20"/>
  </w:num>
  <w:num w:numId="25" w16cid:durableId="86578663">
    <w:abstractNumId w:val="21"/>
  </w:num>
  <w:num w:numId="26" w16cid:durableId="739451457">
    <w:abstractNumId w:val="23"/>
  </w:num>
  <w:num w:numId="27" w16cid:durableId="20622452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10CE9"/>
    <w:rsid w:val="00012515"/>
    <w:rsid w:val="000230A3"/>
    <w:rsid w:val="00033AA1"/>
    <w:rsid w:val="00046389"/>
    <w:rsid w:val="0006222D"/>
    <w:rsid w:val="00074722"/>
    <w:rsid w:val="0008055C"/>
    <w:rsid w:val="0008083D"/>
    <w:rsid w:val="000819D8"/>
    <w:rsid w:val="00085D0B"/>
    <w:rsid w:val="000934A6"/>
    <w:rsid w:val="000A2C6C"/>
    <w:rsid w:val="000A4660"/>
    <w:rsid w:val="000C63A7"/>
    <w:rsid w:val="000D1B5B"/>
    <w:rsid w:val="000E626A"/>
    <w:rsid w:val="0010401F"/>
    <w:rsid w:val="00112FC3"/>
    <w:rsid w:val="001343B4"/>
    <w:rsid w:val="00147E06"/>
    <w:rsid w:val="00162676"/>
    <w:rsid w:val="00173FA3"/>
    <w:rsid w:val="00184B6F"/>
    <w:rsid w:val="001861E5"/>
    <w:rsid w:val="001969DA"/>
    <w:rsid w:val="00197930"/>
    <w:rsid w:val="001A1494"/>
    <w:rsid w:val="001A21C8"/>
    <w:rsid w:val="001A5158"/>
    <w:rsid w:val="001B09D9"/>
    <w:rsid w:val="001B1652"/>
    <w:rsid w:val="001B7E56"/>
    <w:rsid w:val="001C3EC8"/>
    <w:rsid w:val="001C41E0"/>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3B65"/>
    <w:rsid w:val="00287E7C"/>
    <w:rsid w:val="002A1857"/>
    <w:rsid w:val="002C7F38"/>
    <w:rsid w:val="002D4482"/>
    <w:rsid w:val="0030628A"/>
    <w:rsid w:val="003333E1"/>
    <w:rsid w:val="00334486"/>
    <w:rsid w:val="0035122B"/>
    <w:rsid w:val="00353451"/>
    <w:rsid w:val="003612BE"/>
    <w:rsid w:val="00365672"/>
    <w:rsid w:val="00371032"/>
    <w:rsid w:val="00371B44"/>
    <w:rsid w:val="003A717F"/>
    <w:rsid w:val="003C122B"/>
    <w:rsid w:val="003C4713"/>
    <w:rsid w:val="003C5A97"/>
    <w:rsid w:val="003C7A04"/>
    <w:rsid w:val="003D31B3"/>
    <w:rsid w:val="003D546B"/>
    <w:rsid w:val="003E42C0"/>
    <w:rsid w:val="003F52B2"/>
    <w:rsid w:val="0041632F"/>
    <w:rsid w:val="00424E78"/>
    <w:rsid w:val="00440414"/>
    <w:rsid w:val="004558E9"/>
    <w:rsid w:val="0045777E"/>
    <w:rsid w:val="004B3753"/>
    <w:rsid w:val="004C31D2"/>
    <w:rsid w:val="004C6CFB"/>
    <w:rsid w:val="004D55C2"/>
    <w:rsid w:val="004F0E5C"/>
    <w:rsid w:val="004F58D4"/>
    <w:rsid w:val="004F5A0A"/>
    <w:rsid w:val="0050435B"/>
    <w:rsid w:val="00512A5C"/>
    <w:rsid w:val="00521131"/>
    <w:rsid w:val="00527C0B"/>
    <w:rsid w:val="005303AF"/>
    <w:rsid w:val="005410F6"/>
    <w:rsid w:val="00543770"/>
    <w:rsid w:val="0054774D"/>
    <w:rsid w:val="0055412D"/>
    <w:rsid w:val="00571EDF"/>
    <w:rsid w:val="005729C4"/>
    <w:rsid w:val="00577BC6"/>
    <w:rsid w:val="0059227B"/>
    <w:rsid w:val="005B0966"/>
    <w:rsid w:val="005B795D"/>
    <w:rsid w:val="005E4A6A"/>
    <w:rsid w:val="00610508"/>
    <w:rsid w:val="00613820"/>
    <w:rsid w:val="00630609"/>
    <w:rsid w:val="00645C90"/>
    <w:rsid w:val="00652248"/>
    <w:rsid w:val="00657B80"/>
    <w:rsid w:val="006723EC"/>
    <w:rsid w:val="00675B3C"/>
    <w:rsid w:val="00682EAB"/>
    <w:rsid w:val="0068690C"/>
    <w:rsid w:val="0069495C"/>
    <w:rsid w:val="006A07E3"/>
    <w:rsid w:val="006D340A"/>
    <w:rsid w:val="00715A1D"/>
    <w:rsid w:val="00735C8C"/>
    <w:rsid w:val="0076053D"/>
    <w:rsid w:val="00760BB0"/>
    <w:rsid w:val="0076157A"/>
    <w:rsid w:val="00784593"/>
    <w:rsid w:val="007A00EF"/>
    <w:rsid w:val="007B19EA"/>
    <w:rsid w:val="007B4CE4"/>
    <w:rsid w:val="007C0A2D"/>
    <w:rsid w:val="007C112A"/>
    <w:rsid w:val="007C27B0"/>
    <w:rsid w:val="007E2361"/>
    <w:rsid w:val="007F300B"/>
    <w:rsid w:val="008014C3"/>
    <w:rsid w:val="00812587"/>
    <w:rsid w:val="00847EE7"/>
    <w:rsid w:val="00850812"/>
    <w:rsid w:val="00871791"/>
    <w:rsid w:val="00876B9A"/>
    <w:rsid w:val="00886CBD"/>
    <w:rsid w:val="008933BF"/>
    <w:rsid w:val="00895229"/>
    <w:rsid w:val="00897A78"/>
    <w:rsid w:val="008A10C4"/>
    <w:rsid w:val="008A18F1"/>
    <w:rsid w:val="008B0248"/>
    <w:rsid w:val="008D1090"/>
    <w:rsid w:val="008D191D"/>
    <w:rsid w:val="008E2175"/>
    <w:rsid w:val="008F5F33"/>
    <w:rsid w:val="0091046A"/>
    <w:rsid w:val="00923AE1"/>
    <w:rsid w:val="00924155"/>
    <w:rsid w:val="00924C92"/>
    <w:rsid w:val="00926ABD"/>
    <w:rsid w:val="00947F4E"/>
    <w:rsid w:val="00966D47"/>
    <w:rsid w:val="00992312"/>
    <w:rsid w:val="009A45F7"/>
    <w:rsid w:val="009B5445"/>
    <w:rsid w:val="009C0DED"/>
    <w:rsid w:val="009D317A"/>
    <w:rsid w:val="009D53AD"/>
    <w:rsid w:val="00A004B4"/>
    <w:rsid w:val="00A117D5"/>
    <w:rsid w:val="00A130C8"/>
    <w:rsid w:val="00A20ED6"/>
    <w:rsid w:val="00A37D7F"/>
    <w:rsid w:val="00A46410"/>
    <w:rsid w:val="00A57688"/>
    <w:rsid w:val="00A6313B"/>
    <w:rsid w:val="00A842E9"/>
    <w:rsid w:val="00A84A94"/>
    <w:rsid w:val="00AA287D"/>
    <w:rsid w:val="00AD02C0"/>
    <w:rsid w:val="00AD1DAA"/>
    <w:rsid w:val="00AF1E23"/>
    <w:rsid w:val="00AF7F81"/>
    <w:rsid w:val="00B01AFF"/>
    <w:rsid w:val="00B03CB5"/>
    <w:rsid w:val="00B05CC7"/>
    <w:rsid w:val="00B07204"/>
    <w:rsid w:val="00B27E39"/>
    <w:rsid w:val="00B350D8"/>
    <w:rsid w:val="00B76763"/>
    <w:rsid w:val="00B7732B"/>
    <w:rsid w:val="00B879D3"/>
    <w:rsid w:val="00B879F0"/>
    <w:rsid w:val="00BA47FC"/>
    <w:rsid w:val="00BB306A"/>
    <w:rsid w:val="00BC25AA"/>
    <w:rsid w:val="00BD3BC4"/>
    <w:rsid w:val="00BF682E"/>
    <w:rsid w:val="00C022E3"/>
    <w:rsid w:val="00C22D17"/>
    <w:rsid w:val="00C26BB2"/>
    <w:rsid w:val="00C30C26"/>
    <w:rsid w:val="00C403CD"/>
    <w:rsid w:val="00C4095A"/>
    <w:rsid w:val="00C44EA2"/>
    <w:rsid w:val="00C4712D"/>
    <w:rsid w:val="00C555C9"/>
    <w:rsid w:val="00C738F3"/>
    <w:rsid w:val="00C94F55"/>
    <w:rsid w:val="00CA4558"/>
    <w:rsid w:val="00CA7D62"/>
    <w:rsid w:val="00CB07A8"/>
    <w:rsid w:val="00CD4A57"/>
    <w:rsid w:val="00CE4822"/>
    <w:rsid w:val="00CF630C"/>
    <w:rsid w:val="00D01769"/>
    <w:rsid w:val="00D146F1"/>
    <w:rsid w:val="00D33604"/>
    <w:rsid w:val="00D35C18"/>
    <w:rsid w:val="00D366C4"/>
    <w:rsid w:val="00D37460"/>
    <w:rsid w:val="00D37B08"/>
    <w:rsid w:val="00D437FF"/>
    <w:rsid w:val="00D4572C"/>
    <w:rsid w:val="00D5130C"/>
    <w:rsid w:val="00D569A7"/>
    <w:rsid w:val="00D62265"/>
    <w:rsid w:val="00D70DDC"/>
    <w:rsid w:val="00D73770"/>
    <w:rsid w:val="00D8512E"/>
    <w:rsid w:val="00DA1E58"/>
    <w:rsid w:val="00DA5FFF"/>
    <w:rsid w:val="00DA757E"/>
    <w:rsid w:val="00DB75B8"/>
    <w:rsid w:val="00DC1055"/>
    <w:rsid w:val="00DC1396"/>
    <w:rsid w:val="00DE4EF2"/>
    <w:rsid w:val="00DF0F93"/>
    <w:rsid w:val="00DF2C0E"/>
    <w:rsid w:val="00E04DB6"/>
    <w:rsid w:val="00E06FFB"/>
    <w:rsid w:val="00E30155"/>
    <w:rsid w:val="00E57ED1"/>
    <w:rsid w:val="00E67ABE"/>
    <w:rsid w:val="00E82D8D"/>
    <w:rsid w:val="00E9134F"/>
    <w:rsid w:val="00E91FE1"/>
    <w:rsid w:val="00EA5E95"/>
    <w:rsid w:val="00ED4954"/>
    <w:rsid w:val="00ED5A43"/>
    <w:rsid w:val="00EE0943"/>
    <w:rsid w:val="00EE33A2"/>
    <w:rsid w:val="00F00686"/>
    <w:rsid w:val="00F132F3"/>
    <w:rsid w:val="00F440B8"/>
    <w:rsid w:val="00F526B6"/>
    <w:rsid w:val="00F67A1C"/>
    <w:rsid w:val="00F7493F"/>
    <w:rsid w:val="00F82C5B"/>
    <w:rsid w:val="00F85325"/>
    <w:rsid w:val="00F8555F"/>
    <w:rsid w:val="00FB0B3F"/>
    <w:rsid w:val="00FB3E36"/>
    <w:rsid w:val="00FD701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8E2175"/>
    <w:rPr>
      <w:b/>
      <w:bCs/>
    </w:rPr>
  </w:style>
  <w:style w:type="paragraph" w:styleId="Revision">
    <w:name w:val="Revision"/>
    <w:hidden/>
    <w:uiPriority w:val="99"/>
    <w:semiHidden/>
    <w:rsid w:val="005043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435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4632836">
      <w:bodyDiv w:val="1"/>
      <w:marLeft w:val="0"/>
      <w:marRight w:val="0"/>
      <w:marTop w:val="0"/>
      <w:marBottom w:val="0"/>
      <w:divBdr>
        <w:top w:val="none" w:sz="0" w:space="0" w:color="auto"/>
        <w:left w:val="none" w:sz="0" w:space="0" w:color="auto"/>
        <w:bottom w:val="none" w:sz="0" w:space="0" w:color="auto"/>
        <w:right w:val="none" w:sz="0" w:space="0" w:color="auto"/>
      </w:divBdr>
    </w:div>
    <w:div w:id="450708873">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52188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438648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3545063">
      <w:bodyDiv w:val="1"/>
      <w:marLeft w:val="0"/>
      <w:marRight w:val="0"/>
      <w:marTop w:val="0"/>
      <w:marBottom w:val="0"/>
      <w:divBdr>
        <w:top w:val="none" w:sz="0" w:space="0" w:color="auto"/>
        <w:left w:val="none" w:sz="0" w:space="0" w:color="auto"/>
        <w:bottom w:val="none" w:sz="0" w:space="0" w:color="auto"/>
        <w:right w:val="none" w:sz="0" w:space="0" w:color="auto"/>
      </w:divBdr>
    </w:div>
    <w:div w:id="18997010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103610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197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(NEC)_SA5#161_2</cp:lastModifiedBy>
  <cp:revision>2</cp:revision>
  <cp:lastPrinted>1900-01-01T07:00:00Z</cp:lastPrinted>
  <dcterms:created xsi:type="dcterms:W3CDTF">2025-05-22T13:45:00Z</dcterms:created>
  <dcterms:modified xsi:type="dcterms:W3CDTF">2025-05-22T13:45:00Z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2025-05-08T21:12:27Z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1d97587e-1a9e-4389-bd00-2983d26de64c</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